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F9C" w:rsidRPr="007931C0" w:rsidRDefault="006C3F9C" w:rsidP="006C3F9C">
      <w:pPr>
        <w:spacing w:after="60"/>
        <w:ind w:right="4536"/>
        <w:rPr>
          <w:rFonts w:asciiTheme="majorHAnsi" w:hAnsiTheme="majorHAnsi"/>
          <w:b/>
          <w:noProof/>
          <w:lang w:eastAsia="fr-FR"/>
        </w:rPr>
      </w:pPr>
      <w:bookmarkStart w:id="0" w:name="_GoBack"/>
      <w:bookmarkEnd w:id="0"/>
      <w:r w:rsidRPr="007931C0">
        <w:rPr>
          <w:rFonts w:asciiTheme="majorHAnsi" w:hAnsiTheme="majorHAnsi"/>
          <w:b/>
          <w:noProof/>
          <w:lang w:eastAsia="fr-FR"/>
        </w:rPr>
        <w:t>Service d’Infrastructure de la Défense Sud-Ouest</w:t>
      </w:r>
    </w:p>
    <w:p w:rsidR="006C3F9C" w:rsidRPr="007931C0" w:rsidRDefault="006C3F9C" w:rsidP="006C3F9C">
      <w:pPr>
        <w:spacing w:after="60"/>
        <w:ind w:right="4536"/>
        <w:rPr>
          <w:rFonts w:asciiTheme="majorHAnsi" w:hAnsiTheme="majorHAnsi"/>
          <w:noProof/>
          <w:lang w:eastAsia="fr-FR"/>
        </w:rPr>
      </w:pPr>
      <w:r w:rsidRPr="007931C0">
        <w:rPr>
          <w:rFonts w:asciiTheme="majorHAnsi" w:hAnsiTheme="majorHAnsi"/>
          <w:noProof/>
          <w:lang w:eastAsia="fr-FR"/>
        </w:rPr>
        <w:t>Unité de Soutien de l’Infrastructure de la Défense de Saint-Maixent-Poitiers</w:t>
      </w:r>
    </w:p>
    <w:p w:rsidR="006C3F9C" w:rsidRPr="007931C0" w:rsidRDefault="006C3F9C" w:rsidP="006C3F9C">
      <w:pPr>
        <w:spacing w:after="60"/>
        <w:ind w:right="4536"/>
        <w:rPr>
          <w:rFonts w:asciiTheme="majorHAnsi" w:hAnsiTheme="majorHAnsi"/>
          <w:noProof/>
          <w:lang w:eastAsia="fr-FR"/>
        </w:rPr>
      </w:pPr>
      <w:r w:rsidRPr="007931C0">
        <w:rPr>
          <w:rFonts w:asciiTheme="majorHAnsi" w:hAnsiTheme="majorHAnsi"/>
          <w:noProof/>
          <w:lang w:eastAsia="fr-FR"/>
        </w:rPr>
        <w:t>Quartier COIFFE</w:t>
      </w:r>
    </w:p>
    <w:p w:rsidR="006C3F9C" w:rsidRPr="007931C0" w:rsidRDefault="006C3F9C" w:rsidP="006C3F9C">
      <w:pPr>
        <w:spacing w:after="840"/>
        <w:ind w:right="4536"/>
        <w:rPr>
          <w:rFonts w:asciiTheme="majorHAnsi" w:hAnsiTheme="majorHAnsi"/>
          <w:noProof/>
          <w:lang w:eastAsia="fr-FR"/>
        </w:rPr>
      </w:pPr>
      <w:r w:rsidRPr="007931C0">
        <w:rPr>
          <w:rFonts w:asciiTheme="majorHAnsi" w:hAnsiTheme="majorHAnsi"/>
          <w:noProof/>
          <w:lang w:eastAsia="fr-FR"/>
        </w:rPr>
        <w:t>79400 SAINT-MAIXENT-L’ÉCOLE</w:t>
      </w:r>
    </w:p>
    <w:p w:rsidR="006C3F9C" w:rsidRPr="007931C0" w:rsidRDefault="006C3F9C" w:rsidP="006C3F9C">
      <w:pPr>
        <w:tabs>
          <w:tab w:val="left" w:pos="1843"/>
        </w:tabs>
        <w:spacing w:after="360"/>
        <w:rPr>
          <w:rFonts w:asciiTheme="majorHAnsi" w:hAnsiTheme="majorHAnsi"/>
          <w:noProof/>
          <w:lang w:eastAsia="fr-FR"/>
        </w:rPr>
      </w:pPr>
      <w:r w:rsidRPr="007931C0">
        <w:rPr>
          <w:rFonts w:asciiTheme="majorHAnsi" w:hAnsiTheme="majorHAnsi"/>
          <w:b/>
          <w:noProof/>
          <w:u w:val="single"/>
          <w:lang w:eastAsia="fr-FR"/>
        </w:rPr>
        <w:t>n° du marché</w:t>
      </w:r>
      <w:r w:rsidRPr="007931C0">
        <w:rPr>
          <w:rFonts w:asciiTheme="majorHAnsi" w:hAnsiTheme="majorHAnsi"/>
          <w:b/>
          <w:noProof/>
          <w:lang w:eastAsia="fr-FR"/>
        </w:rPr>
        <w:t> :</w:t>
      </w:r>
      <w:r>
        <w:rPr>
          <w:rFonts w:asciiTheme="majorHAnsi" w:hAnsiTheme="majorHAnsi"/>
          <w:noProof/>
          <w:lang w:eastAsia="fr-FR"/>
        </w:rPr>
        <w:tab/>
      </w:r>
    </w:p>
    <w:p w:rsidR="006C3F9C" w:rsidRPr="007931C0" w:rsidRDefault="006C3F9C" w:rsidP="006C3F9C">
      <w:pPr>
        <w:tabs>
          <w:tab w:val="left" w:pos="1843"/>
        </w:tabs>
        <w:spacing w:after="360"/>
        <w:rPr>
          <w:rFonts w:asciiTheme="majorHAnsi" w:hAnsiTheme="majorHAnsi"/>
          <w:noProof/>
          <w:lang w:eastAsia="fr-FR"/>
        </w:rPr>
      </w:pPr>
      <w:r w:rsidRPr="007931C0">
        <w:rPr>
          <w:rFonts w:asciiTheme="majorHAnsi" w:hAnsiTheme="majorHAnsi"/>
          <w:b/>
          <w:noProof/>
          <w:u w:val="single"/>
          <w:lang w:eastAsia="fr-FR"/>
        </w:rPr>
        <w:t>Objet</w:t>
      </w:r>
      <w:r w:rsidRPr="007931C0">
        <w:rPr>
          <w:rFonts w:asciiTheme="majorHAnsi" w:hAnsiTheme="majorHAnsi"/>
          <w:b/>
          <w:noProof/>
          <w:lang w:eastAsia="fr-FR"/>
        </w:rPr>
        <w:t> :</w:t>
      </w:r>
      <w:r>
        <w:rPr>
          <w:rFonts w:asciiTheme="majorHAnsi" w:hAnsiTheme="majorHAnsi"/>
          <w:noProof/>
          <w:lang w:eastAsia="fr-FR"/>
        </w:rPr>
        <w:tab/>
      </w:r>
      <w:r w:rsidRPr="007931C0">
        <w:rPr>
          <w:rFonts w:asciiTheme="majorHAnsi" w:hAnsiTheme="majorHAnsi"/>
          <w:noProof/>
          <w:lang w:eastAsia="fr-FR"/>
        </w:rPr>
        <w:t>(86) POITIERS – Mise en accessibilité AD’AP du bâtiment 0011</w:t>
      </w:r>
    </w:p>
    <w:p w:rsidR="006C3F9C" w:rsidRPr="007931C0" w:rsidRDefault="006C3F9C" w:rsidP="006C3F9C">
      <w:pPr>
        <w:tabs>
          <w:tab w:val="left" w:pos="1843"/>
        </w:tabs>
        <w:spacing w:after="60"/>
        <w:rPr>
          <w:rFonts w:asciiTheme="majorHAnsi" w:hAnsiTheme="majorHAnsi"/>
          <w:noProof/>
          <w:lang w:eastAsia="fr-FR"/>
        </w:rPr>
      </w:pPr>
      <w:r w:rsidRPr="007931C0">
        <w:rPr>
          <w:rFonts w:asciiTheme="majorHAnsi" w:hAnsiTheme="majorHAnsi"/>
          <w:b/>
          <w:noProof/>
          <w:u w:val="single"/>
          <w:lang w:eastAsia="fr-FR"/>
        </w:rPr>
        <w:t>Lieu des travaux</w:t>
      </w:r>
      <w:r w:rsidRPr="007931C0">
        <w:rPr>
          <w:rFonts w:asciiTheme="majorHAnsi" w:hAnsiTheme="majorHAnsi"/>
          <w:b/>
          <w:noProof/>
          <w:lang w:eastAsia="fr-FR"/>
        </w:rPr>
        <w:t> :</w:t>
      </w:r>
      <w:r w:rsidRPr="007931C0">
        <w:rPr>
          <w:rFonts w:asciiTheme="majorHAnsi" w:hAnsiTheme="majorHAnsi"/>
          <w:noProof/>
          <w:lang w:eastAsia="fr-FR"/>
        </w:rPr>
        <w:tab/>
        <w:t>Quartier Général LE PULOCH</w:t>
      </w:r>
    </w:p>
    <w:p w:rsidR="006C3F9C" w:rsidRPr="007931C0" w:rsidRDefault="006C3F9C" w:rsidP="006C3F9C">
      <w:pPr>
        <w:tabs>
          <w:tab w:val="left" w:pos="1843"/>
        </w:tabs>
        <w:spacing w:after="60"/>
        <w:rPr>
          <w:rFonts w:asciiTheme="majorHAnsi" w:hAnsiTheme="majorHAnsi"/>
          <w:noProof/>
          <w:lang w:eastAsia="fr-FR"/>
        </w:rPr>
      </w:pPr>
      <w:r w:rsidRPr="007931C0">
        <w:rPr>
          <w:rFonts w:asciiTheme="majorHAnsi" w:hAnsiTheme="majorHAnsi"/>
          <w:noProof/>
          <w:lang w:eastAsia="fr-FR"/>
        </w:rPr>
        <w:tab/>
        <w:t>46, rue Jean Mermoz</w:t>
      </w:r>
    </w:p>
    <w:p w:rsidR="006C3F9C" w:rsidRPr="007931C0" w:rsidRDefault="006C3F9C" w:rsidP="006C3F9C">
      <w:pPr>
        <w:tabs>
          <w:tab w:val="left" w:pos="1843"/>
        </w:tabs>
        <w:spacing w:after="840"/>
        <w:rPr>
          <w:rFonts w:asciiTheme="majorHAnsi" w:hAnsiTheme="majorHAnsi"/>
          <w:noProof/>
          <w:lang w:eastAsia="fr-FR"/>
        </w:rPr>
      </w:pPr>
      <w:r w:rsidRPr="007931C0">
        <w:rPr>
          <w:rFonts w:asciiTheme="majorHAnsi" w:hAnsiTheme="majorHAnsi"/>
          <w:noProof/>
          <w:lang w:eastAsia="fr-FR"/>
        </w:rPr>
        <w:tab/>
        <w:t>86000 POITIERS</w:t>
      </w:r>
    </w:p>
    <w:p w:rsidR="006C3F9C" w:rsidRPr="007C333F" w:rsidRDefault="006C3F9C" w:rsidP="006C3F9C">
      <w:pPr>
        <w:pStyle w:val="Titre"/>
        <w:pBdr>
          <w:top w:val="single" w:sz="4" w:space="6" w:color="404040" w:themeColor="text1" w:themeTint="BF"/>
          <w:left w:val="single" w:sz="4" w:space="4" w:color="404040" w:themeColor="text1" w:themeTint="BF"/>
          <w:bottom w:val="single" w:sz="4" w:space="6" w:color="404040" w:themeColor="text1" w:themeTint="BF"/>
          <w:right w:val="single" w:sz="4" w:space="4" w:color="404040" w:themeColor="text1" w:themeTint="BF"/>
        </w:pBdr>
        <w:jc w:val="center"/>
        <w:rPr>
          <w:noProof/>
          <w:sz w:val="34"/>
          <w:szCs w:val="34"/>
          <w:lang w:eastAsia="fr-FR"/>
        </w:rPr>
      </w:pPr>
      <w:r w:rsidRPr="007C333F">
        <w:rPr>
          <w:noProof/>
          <w:sz w:val="34"/>
          <w:szCs w:val="34"/>
          <w:lang w:eastAsia="fr-FR"/>
        </w:rPr>
        <w:t>MARCHÉ PUBLIC DE TRAVAUX PASSÉ SELON LA PROCÉDURE ADAPTÉE</w:t>
      </w:r>
    </w:p>
    <w:p w:rsidR="006C3F9C" w:rsidRDefault="006C3F9C" w:rsidP="006C3F9C">
      <w:pPr>
        <w:pStyle w:val="Sous-titre"/>
        <w:pBdr>
          <w:top w:val="single" w:sz="4" w:space="6" w:color="404040" w:themeColor="text1" w:themeTint="BF"/>
          <w:left w:val="single" w:sz="4" w:space="4" w:color="404040" w:themeColor="text1" w:themeTint="BF"/>
          <w:bottom w:val="single" w:sz="4" w:space="6" w:color="404040" w:themeColor="text1" w:themeTint="BF"/>
          <w:right w:val="single" w:sz="4" w:space="4" w:color="404040" w:themeColor="text1" w:themeTint="BF"/>
        </w:pBdr>
        <w:jc w:val="center"/>
        <w:rPr>
          <w:noProof/>
          <w:color w:val="404040" w:themeColor="text1" w:themeTint="BF"/>
          <w:sz w:val="20"/>
          <w:lang w:eastAsia="fr-FR"/>
        </w:rPr>
      </w:pPr>
      <w:r w:rsidRPr="00E76F70">
        <w:rPr>
          <w:noProof/>
          <w:color w:val="404040" w:themeColor="text1" w:themeTint="BF"/>
          <w:sz w:val="20"/>
          <w:lang w:eastAsia="fr-FR"/>
        </w:rPr>
        <w:t>en application des articles L. 2123-1, R. 2123-1 et R.2123-4 à R. 2123-6 du Code de la Commande Publique</w:t>
      </w:r>
    </w:p>
    <w:p w:rsidR="006C3F9C" w:rsidRPr="00E76F70" w:rsidRDefault="006C3F9C" w:rsidP="006C3F9C">
      <w:pPr>
        <w:spacing w:after="480"/>
        <w:rPr>
          <w:lang w:eastAsia="fr-FR"/>
        </w:rPr>
      </w:pPr>
    </w:p>
    <w:p w:rsidR="006C3F9C" w:rsidRDefault="006C3F9C" w:rsidP="006C3F9C">
      <w:pPr>
        <w:pStyle w:val="Titre"/>
        <w:pBdr>
          <w:top w:val="single" w:sz="4" w:space="6" w:color="404040" w:themeColor="text1" w:themeTint="BF"/>
          <w:left w:val="single" w:sz="4" w:space="4" w:color="404040" w:themeColor="text1" w:themeTint="BF"/>
          <w:bottom w:val="single" w:sz="4" w:space="6" w:color="404040" w:themeColor="text1" w:themeTint="BF"/>
          <w:right w:val="single" w:sz="4" w:space="4" w:color="404040" w:themeColor="text1" w:themeTint="BF"/>
        </w:pBdr>
        <w:jc w:val="center"/>
        <w:rPr>
          <w:noProof/>
          <w:sz w:val="36"/>
          <w:szCs w:val="32"/>
          <w:lang w:eastAsia="fr-FR"/>
        </w:rPr>
      </w:pPr>
      <w:r>
        <w:rPr>
          <w:noProof/>
          <w:sz w:val="36"/>
          <w:szCs w:val="32"/>
          <w:lang w:eastAsia="fr-FR"/>
        </w:rPr>
        <w:t>TABLEAU DES MARQUES</w:t>
      </w:r>
    </w:p>
    <w:p w:rsidR="006C3F9C" w:rsidRPr="00E76F70" w:rsidRDefault="006C3F9C" w:rsidP="006C3F9C">
      <w:pPr>
        <w:pStyle w:val="Sous-titre"/>
        <w:pBdr>
          <w:top w:val="single" w:sz="4" w:space="6" w:color="404040" w:themeColor="text1" w:themeTint="BF"/>
          <w:left w:val="single" w:sz="4" w:space="4" w:color="404040" w:themeColor="text1" w:themeTint="BF"/>
          <w:bottom w:val="single" w:sz="4" w:space="6" w:color="404040" w:themeColor="text1" w:themeTint="BF"/>
          <w:right w:val="single" w:sz="4" w:space="4" w:color="404040" w:themeColor="text1" w:themeTint="BF"/>
        </w:pBdr>
        <w:jc w:val="center"/>
        <w:rPr>
          <w:noProof/>
          <w:color w:val="404040" w:themeColor="text1" w:themeTint="BF"/>
          <w:lang w:eastAsia="fr-FR"/>
        </w:rPr>
      </w:pPr>
      <w:r w:rsidRPr="00E76F70">
        <w:rPr>
          <w:noProof/>
          <w:color w:val="404040" w:themeColor="text1" w:themeTint="BF"/>
          <w:lang w:eastAsia="fr-FR"/>
        </w:rPr>
        <w:t>Lot Unique</w:t>
      </w:r>
    </w:p>
    <w:p w:rsidR="006C3F9C" w:rsidRDefault="006C3F9C">
      <w:pPr>
        <w:rPr>
          <w:noProof/>
          <w:lang w:eastAsia="fr-FR"/>
        </w:rPr>
      </w:pPr>
      <w:r>
        <w:rPr>
          <w:noProof/>
          <w:lang w:eastAsia="fr-FR"/>
        </w:rPr>
        <w:br w:type="page"/>
      </w:r>
    </w:p>
    <w:p w:rsidR="006C3F9C" w:rsidRPr="001809D5" w:rsidRDefault="006C3F9C" w:rsidP="006C3F9C">
      <w:pPr>
        <w:jc w:val="both"/>
        <w:rPr>
          <w:rStyle w:val="Accentuation"/>
        </w:rPr>
      </w:pPr>
      <w:r w:rsidRPr="001809D5">
        <w:rPr>
          <w:rStyle w:val="Accentuation"/>
        </w:rPr>
        <w:lastRenderedPageBreak/>
        <w:tab/>
        <w:t>Le tableau des marques liste les matériaux/matériels pour lesquels le candidat fournit la fiche technique correspondante (</w:t>
      </w:r>
      <w:r w:rsidRPr="008B2A9C">
        <w:rPr>
          <w:rStyle w:val="Accentuation"/>
          <w:b/>
        </w:rPr>
        <w:t>5 fiches maximum</w:t>
      </w:r>
      <w:r w:rsidRPr="001809D5">
        <w:rPr>
          <w:rStyle w:val="Accentuation"/>
        </w:rPr>
        <w:t>).</w:t>
      </w:r>
    </w:p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C3F9C" w:rsidRPr="001809D5" w:rsidTr="00D31581">
        <w:trPr>
          <w:trHeight w:val="454"/>
          <w:jc w:val="center"/>
        </w:trPr>
        <w:tc>
          <w:tcPr>
            <w:tcW w:w="1666" w:type="pct"/>
            <w:shd w:val="clear" w:color="auto" w:fill="F2F2F2" w:themeFill="background1" w:themeFillShade="F2"/>
            <w:vAlign w:val="center"/>
          </w:tcPr>
          <w:p w:rsidR="006C3F9C" w:rsidRPr="001809D5" w:rsidRDefault="006C3F9C" w:rsidP="00D31581">
            <w:pPr>
              <w:jc w:val="center"/>
              <w:rPr>
                <w:rFonts w:asciiTheme="majorHAnsi" w:hAnsiTheme="majorHAnsi"/>
                <w:sz w:val="24"/>
              </w:rPr>
            </w:pPr>
            <w:r w:rsidRPr="001809D5">
              <w:rPr>
                <w:rFonts w:asciiTheme="majorHAnsi" w:hAnsiTheme="majorHAnsi"/>
                <w:sz w:val="24"/>
              </w:rPr>
              <w:t>DESIGNATION</w:t>
            </w:r>
          </w:p>
        </w:tc>
        <w:tc>
          <w:tcPr>
            <w:tcW w:w="1667" w:type="pct"/>
            <w:shd w:val="clear" w:color="auto" w:fill="F2F2F2" w:themeFill="background1" w:themeFillShade="F2"/>
            <w:vAlign w:val="center"/>
          </w:tcPr>
          <w:p w:rsidR="006C3F9C" w:rsidRPr="001809D5" w:rsidRDefault="006C3F9C" w:rsidP="00D31581">
            <w:pPr>
              <w:jc w:val="center"/>
              <w:rPr>
                <w:rFonts w:asciiTheme="majorHAnsi" w:hAnsiTheme="majorHAnsi"/>
                <w:sz w:val="24"/>
              </w:rPr>
            </w:pPr>
            <w:r w:rsidRPr="001809D5">
              <w:rPr>
                <w:rFonts w:asciiTheme="majorHAnsi" w:hAnsiTheme="majorHAnsi"/>
                <w:sz w:val="24"/>
              </w:rPr>
              <w:t>MARQUE</w:t>
            </w:r>
          </w:p>
        </w:tc>
        <w:tc>
          <w:tcPr>
            <w:tcW w:w="1667" w:type="pct"/>
            <w:shd w:val="clear" w:color="auto" w:fill="F2F2F2" w:themeFill="background1" w:themeFillShade="F2"/>
            <w:vAlign w:val="center"/>
          </w:tcPr>
          <w:p w:rsidR="006C3F9C" w:rsidRPr="001809D5" w:rsidRDefault="006C3F9C" w:rsidP="00D31581">
            <w:pPr>
              <w:jc w:val="center"/>
              <w:rPr>
                <w:rFonts w:asciiTheme="majorHAnsi" w:hAnsiTheme="majorHAnsi"/>
                <w:sz w:val="24"/>
              </w:rPr>
            </w:pPr>
            <w:r w:rsidRPr="001809D5">
              <w:rPr>
                <w:rFonts w:asciiTheme="majorHAnsi" w:hAnsiTheme="majorHAnsi"/>
                <w:sz w:val="24"/>
              </w:rPr>
              <w:t>TYPE</w:t>
            </w:r>
          </w:p>
        </w:tc>
      </w:tr>
      <w:tr w:rsidR="006C3F9C" w:rsidTr="006C3F9C">
        <w:trPr>
          <w:trHeight w:val="454"/>
          <w:jc w:val="center"/>
        </w:trPr>
        <w:tc>
          <w:tcPr>
            <w:tcW w:w="1666" w:type="pct"/>
          </w:tcPr>
          <w:p w:rsidR="006C3F9C" w:rsidRPr="001809D5" w:rsidRDefault="006C3F9C" w:rsidP="00D31581">
            <w:pPr>
              <w:keepNext/>
              <w:keepLines/>
              <w:spacing w:before="120"/>
              <w:ind w:left="317"/>
              <w:outlineLvl w:val="3"/>
              <w:rPr>
                <w:rFonts w:asciiTheme="majorHAnsi" w:eastAsiaTheme="majorEastAsia" w:hAnsiTheme="majorHAnsi" w:cstheme="majorBidi"/>
                <w:caps/>
              </w:rPr>
            </w:pPr>
            <w:r w:rsidRPr="001809D5">
              <w:rPr>
                <w:rFonts w:asciiTheme="majorHAnsi" w:eastAsiaTheme="majorEastAsia" w:hAnsiTheme="majorHAnsi" w:cstheme="majorBidi"/>
                <w:caps/>
              </w:rPr>
              <w:t>1.4.2. Bordures</w:t>
            </w:r>
          </w:p>
        </w:tc>
        <w:tc>
          <w:tcPr>
            <w:tcW w:w="1667" w:type="pct"/>
          </w:tcPr>
          <w:p w:rsidR="006C3F9C" w:rsidRDefault="006C3F9C" w:rsidP="00D31581"/>
        </w:tc>
        <w:tc>
          <w:tcPr>
            <w:tcW w:w="1667" w:type="pct"/>
          </w:tcPr>
          <w:p w:rsidR="006C3F9C" w:rsidRDefault="006C3F9C" w:rsidP="00D31581"/>
        </w:tc>
      </w:tr>
      <w:tr w:rsidR="006C3F9C" w:rsidTr="006C3F9C">
        <w:trPr>
          <w:trHeight w:val="680"/>
          <w:jc w:val="center"/>
        </w:trPr>
        <w:tc>
          <w:tcPr>
            <w:tcW w:w="1666" w:type="pct"/>
          </w:tcPr>
          <w:p w:rsidR="006C3F9C" w:rsidRPr="001809D5" w:rsidRDefault="006C3F9C" w:rsidP="00D31581">
            <w:pPr>
              <w:keepNext/>
              <w:keepLines/>
              <w:spacing w:before="120"/>
              <w:ind w:left="600"/>
              <w:outlineLvl w:val="4"/>
              <w:rPr>
                <w:rFonts w:asciiTheme="majorHAnsi" w:eastAsiaTheme="majorEastAsia" w:hAnsiTheme="majorHAnsi" w:cstheme="majorBidi"/>
                <w:i/>
                <w:iCs/>
                <w:caps/>
              </w:rPr>
            </w:pPr>
            <w:r w:rsidRPr="001809D5">
              <w:rPr>
                <w:rFonts w:asciiTheme="majorHAnsi" w:eastAsiaTheme="majorEastAsia" w:hAnsiTheme="majorHAnsi" w:cstheme="majorBidi"/>
                <w:i/>
                <w:iCs/>
                <w:caps/>
              </w:rPr>
              <w:t>1.4.4.1. Bande d’éveil à la vigilance</w:t>
            </w:r>
          </w:p>
        </w:tc>
        <w:tc>
          <w:tcPr>
            <w:tcW w:w="1667" w:type="pct"/>
          </w:tcPr>
          <w:p w:rsidR="006C3F9C" w:rsidRDefault="006C3F9C" w:rsidP="00D31581"/>
        </w:tc>
        <w:tc>
          <w:tcPr>
            <w:tcW w:w="1667" w:type="pct"/>
          </w:tcPr>
          <w:p w:rsidR="006C3F9C" w:rsidRDefault="006C3F9C" w:rsidP="00D31581"/>
        </w:tc>
      </w:tr>
      <w:tr w:rsidR="006C3F9C" w:rsidTr="006C3F9C">
        <w:trPr>
          <w:trHeight w:val="454"/>
          <w:jc w:val="center"/>
        </w:trPr>
        <w:tc>
          <w:tcPr>
            <w:tcW w:w="1666" w:type="pct"/>
          </w:tcPr>
          <w:p w:rsidR="006C3F9C" w:rsidRPr="001809D5" w:rsidRDefault="006C3F9C" w:rsidP="00D31581">
            <w:pPr>
              <w:keepNext/>
              <w:keepLines/>
              <w:spacing w:before="120"/>
              <w:ind w:left="317"/>
              <w:outlineLvl w:val="3"/>
              <w:rPr>
                <w:rFonts w:asciiTheme="majorHAnsi" w:eastAsiaTheme="majorEastAsia" w:hAnsiTheme="majorHAnsi" w:cstheme="majorBidi"/>
                <w:caps/>
              </w:rPr>
            </w:pPr>
            <w:r w:rsidRPr="001809D5">
              <w:rPr>
                <w:rFonts w:asciiTheme="majorHAnsi" w:eastAsiaTheme="majorEastAsia" w:hAnsiTheme="majorHAnsi" w:cstheme="majorBidi"/>
                <w:caps/>
              </w:rPr>
              <w:t>5.3.2. Carrelage</w:t>
            </w:r>
          </w:p>
        </w:tc>
        <w:tc>
          <w:tcPr>
            <w:tcW w:w="1667" w:type="pct"/>
          </w:tcPr>
          <w:p w:rsidR="006C3F9C" w:rsidRDefault="006C3F9C" w:rsidP="00D31581"/>
        </w:tc>
        <w:tc>
          <w:tcPr>
            <w:tcW w:w="1667" w:type="pct"/>
          </w:tcPr>
          <w:p w:rsidR="006C3F9C" w:rsidRDefault="006C3F9C" w:rsidP="00D31581"/>
        </w:tc>
      </w:tr>
      <w:tr w:rsidR="006C3F9C" w:rsidTr="006C3F9C">
        <w:trPr>
          <w:trHeight w:val="454"/>
          <w:jc w:val="center"/>
        </w:trPr>
        <w:tc>
          <w:tcPr>
            <w:tcW w:w="1666" w:type="pct"/>
          </w:tcPr>
          <w:p w:rsidR="006C3F9C" w:rsidRPr="001809D5" w:rsidRDefault="006C3F9C" w:rsidP="00D31581">
            <w:pPr>
              <w:keepNext/>
              <w:keepLines/>
              <w:spacing w:before="120"/>
              <w:ind w:left="600"/>
              <w:outlineLvl w:val="4"/>
              <w:rPr>
                <w:rFonts w:asciiTheme="majorHAnsi" w:eastAsiaTheme="majorEastAsia" w:hAnsiTheme="majorHAnsi" w:cstheme="majorBidi"/>
                <w:i/>
                <w:iCs/>
                <w:caps/>
              </w:rPr>
            </w:pPr>
            <w:r w:rsidRPr="001809D5">
              <w:rPr>
                <w:rFonts w:asciiTheme="majorHAnsi" w:eastAsiaTheme="majorEastAsia" w:hAnsiTheme="majorHAnsi" w:cstheme="majorBidi"/>
                <w:i/>
                <w:iCs/>
                <w:caps/>
              </w:rPr>
              <w:t>7.4.2.2. Bornes</w:t>
            </w:r>
          </w:p>
        </w:tc>
        <w:tc>
          <w:tcPr>
            <w:tcW w:w="1667" w:type="pct"/>
          </w:tcPr>
          <w:p w:rsidR="006C3F9C" w:rsidRDefault="006C3F9C" w:rsidP="00D31581"/>
        </w:tc>
        <w:tc>
          <w:tcPr>
            <w:tcW w:w="1667" w:type="pct"/>
          </w:tcPr>
          <w:p w:rsidR="006C3F9C" w:rsidRDefault="006C3F9C" w:rsidP="00D31581"/>
        </w:tc>
      </w:tr>
      <w:tr w:rsidR="006C3F9C" w:rsidTr="006C3F9C">
        <w:trPr>
          <w:trHeight w:val="454"/>
          <w:jc w:val="center"/>
        </w:trPr>
        <w:tc>
          <w:tcPr>
            <w:tcW w:w="1666" w:type="pct"/>
          </w:tcPr>
          <w:p w:rsidR="006C3F9C" w:rsidRPr="008B2A9C" w:rsidRDefault="006C3F9C" w:rsidP="00D31581">
            <w:pPr>
              <w:spacing w:before="120"/>
              <w:rPr>
                <w:rFonts w:asciiTheme="majorHAnsi" w:hAnsiTheme="majorHAnsi"/>
                <w:i/>
              </w:rPr>
            </w:pPr>
            <w:r w:rsidRPr="008B2A9C">
              <w:rPr>
                <w:rFonts w:asciiTheme="majorHAnsi" w:eastAsiaTheme="majorEastAsia" w:hAnsiTheme="majorHAnsi" w:cstheme="majorBidi"/>
                <w:i/>
              </w:rPr>
              <w:t>au choix</w:t>
            </w:r>
            <w:r>
              <w:rPr>
                <w:rFonts w:asciiTheme="majorHAnsi" w:eastAsiaTheme="majorEastAsia" w:hAnsiTheme="majorHAnsi" w:cstheme="majorBidi"/>
                <w:i/>
              </w:rPr>
              <w:t xml:space="preserve"> </w:t>
            </w:r>
            <w:r w:rsidRPr="008B2A9C">
              <w:rPr>
                <w:rFonts w:asciiTheme="majorHAnsi" w:eastAsiaTheme="majorEastAsia" w:hAnsiTheme="majorHAnsi" w:cstheme="majorBidi"/>
                <w:i/>
                <w:vertAlign w:val="superscript"/>
              </w:rPr>
              <w:t>(1)</w:t>
            </w:r>
          </w:p>
        </w:tc>
        <w:tc>
          <w:tcPr>
            <w:tcW w:w="1667" w:type="pct"/>
          </w:tcPr>
          <w:p w:rsidR="006C3F9C" w:rsidRDefault="006C3F9C" w:rsidP="00D31581"/>
        </w:tc>
        <w:tc>
          <w:tcPr>
            <w:tcW w:w="1667" w:type="pct"/>
          </w:tcPr>
          <w:p w:rsidR="006C3F9C" w:rsidRDefault="006C3F9C" w:rsidP="00D31581"/>
        </w:tc>
      </w:tr>
    </w:tbl>
    <w:p w:rsidR="006C3F9C" w:rsidRDefault="00A77148" w:rsidP="00A77148">
      <w:pPr>
        <w:rPr>
          <w:rStyle w:val="Accentuation"/>
        </w:rPr>
      </w:pPr>
      <w:r w:rsidRPr="008B2A9C">
        <w:rPr>
          <w:rStyle w:val="Accentuation"/>
          <w:vertAlign w:val="superscript"/>
        </w:rPr>
        <w:t>(1)</w:t>
      </w:r>
      <w:r>
        <w:rPr>
          <w:rStyle w:val="Accentuation"/>
        </w:rPr>
        <w:t xml:space="preserve"> </w:t>
      </w:r>
      <w:r w:rsidRPr="001809D5">
        <w:rPr>
          <w:rStyle w:val="Accentuation"/>
        </w:rPr>
        <w:t>Le candidat fournit une fiche supplémentaire de son choix qu’il juge la plus pertinente en fonction du CCTP.</w:t>
      </w:r>
    </w:p>
    <w:tbl>
      <w:tblPr>
        <w:tblpPr w:leftFromText="141" w:rightFromText="141" w:vertAnchor="text" w:horzAnchor="margin" w:tblpXSpec="center" w:tblpY="6664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6"/>
        <w:gridCol w:w="7806"/>
      </w:tblGrid>
      <w:tr w:rsidR="00A77148" w:rsidRPr="00A77148" w:rsidTr="001E05D6">
        <w:trPr>
          <w:trHeight w:val="315"/>
        </w:trPr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148" w:rsidRPr="00A77148" w:rsidRDefault="00A77148" w:rsidP="001E0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430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148" w:rsidRPr="00A77148" w:rsidRDefault="00A77148" w:rsidP="001E05D6">
            <w:pPr>
              <w:tabs>
                <w:tab w:val="left" w:pos="3489"/>
              </w:tabs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Cs w:val="24"/>
                <w:lang w:eastAsia="fr-FR"/>
              </w:rPr>
            </w:pPr>
            <w:r w:rsidRPr="00A77148">
              <w:rPr>
                <w:rFonts w:ascii="Calibri Light" w:eastAsia="Times New Roman" w:hAnsi="Calibri Light" w:cs="Calibri Light"/>
                <w:color w:val="000000"/>
                <w:szCs w:val="24"/>
                <w:lang w:eastAsia="fr-FR"/>
              </w:rPr>
              <w:t>A</w:t>
            </w:r>
            <w:r w:rsidRPr="00A77148">
              <w:rPr>
                <w:rFonts w:ascii="Calibri Light" w:eastAsia="Times New Roman" w:hAnsi="Calibri Light" w:cs="Calibri Light"/>
                <w:color w:val="000000"/>
                <w:szCs w:val="24"/>
                <w:lang w:eastAsia="fr-FR"/>
              </w:rPr>
              <w:tab/>
              <w:t>, le</w:t>
            </w:r>
          </w:p>
        </w:tc>
      </w:tr>
      <w:tr w:rsidR="00A77148" w:rsidRPr="00A77148" w:rsidTr="001E05D6">
        <w:trPr>
          <w:trHeight w:val="315"/>
        </w:trPr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148" w:rsidRPr="00A77148" w:rsidRDefault="00A77148" w:rsidP="001E0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43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148" w:rsidRPr="00A77148" w:rsidRDefault="00A77148" w:rsidP="001E05D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Cs w:val="24"/>
                <w:lang w:eastAsia="fr-FR"/>
              </w:rPr>
            </w:pPr>
            <w:r w:rsidRPr="00A77148">
              <w:rPr>
                <w:rFonts w:ascii="Calibri Light" w:eastAsia="Times New Roman" w:hAnsi="Calibri Light" w:cs="Calibri Light"/>
                <w:color w:val="000000"/>
                <w:szCs w:val="24"/>
                <w:lang w:eastAsia="fr-FR"/>
              </w:rPr>
              <w:t>Cachet et signature</w:t>
            </w:r>
          </w:p>
        </w:tc>
      </w:tr>
      <w:tr w:rsidR="00A77148" w:rsidRPr="00A77148" w:rsidTr="001E05D6">
        <w:trPr>
          <w:trHeight w:val="300"/>
        </w:trPr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148" w:rsidRPr="00A77148" w:rsidRDefault="00A77148" w:rsidP="001E0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43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148" w:rsidRPr="00A77148" w:rsidRDefault="00A77148" w:rsidP="001E0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A77148" w:rsidRPr="00A77148" w:rsidTr="001E05D6">
        <w:trPr>
          <w:trHeight w:val="300"/>
        </w:trPr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148" w:rsidRPr="00A77148" w:rsidRDefault="00A77148" w:rsidP="001E0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43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148" w:rsidRPr="00A77148" w:rsidRDefault="00A77148" w:rsidP="001E0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A77148" w:rsidRPr="00A77148" w:rsidTr="001E05D6">
        <w:trPr>
          <w:trHeight w:val="300"/>
        </w:trPr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148" w:rsidRPr="00A77148" w:rsidRDefault="00A77148" w:rsidP="001E0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43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148" w:rsidRPr="00A77148" w:rsidRDefault="00A77148" w:rsidP="001E0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A77148" w:rsidRPr="00A77148" w:rsidTr="001E05D6">
        <w:trPr>
          <w:trHeight w:val="300"/>
        </w:trPr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148" w:rsidRPr="00A77148" w:rsidRDefault="00A77148" w:rsidP="001E0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43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148" w:rsidRPr="00A77148" w:rsidRDefault="00A77148" w:rsidP="001E0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A77148" w:rsidRPr="00A77148" w:rsidTr="001E05D6">
        <w:trPr>
          <w:trHeight w:val="300"/>
        </w:trPr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148" w:rsidRPr="00A77148" w:rsidRDefault="00A77148" w:rsidP="001E0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43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148" w:rsidRPr="00A77148" w:rsidRDefault="00A77148" w:rsidP="001E0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A77148" w:rsidRPr="00A77148" w:rsidTr="001E05D6">
        <w:trPr>
          <w:trHeight w:val="300"/>
        </w:trPr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148" w:rsidRPr="00A77148" w:rsidRDefault="00A77148" w:rsidP="001E0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43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148" w:rsidRPr="00A77148" w:rsidRDefault="00A77148" w:rsidP="001E0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A77148" w:rsidRPr="00A77148" w:rsidTr="001E05D6">
        <w:trPr>
          <w:trHeight w:val="300"/>
        </w:trPr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7148" w:rsidRPr="00A77148" w:rsidRDefault="00A77148" w:rsidP="001E0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4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148" w:rsidRPr="00A77148" w:rsidRDefault="00A77148" w:rsidP="001E05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</w:tbl>
    <w:p w:rsidR="00A77148" w:rsidRPr="00A77148" w:rsidRDefault="00A77148" w:rsidP="00A77148"/>
    <w:sectPr w:rsidR="00A77148" w:rsidRPr="00A77148" w:rsidSect="006C3F9C">
      <w:foot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5F1" w:rsidRDefault="004D05F1" w:rsidP="006C3F9C">
      <w:pPr>
        <w:spacing w:after="0" w:line="240" w:lineRule="auto"/>
      </w:pPr>
      <w:r>
        <w:separator/>
      </w:r>
    </w:p>
  </w:endnote>
  <w:endnote w:type="continuationSeparator" w:id="0">
    <w:p w:rsidR="004D05F1" w:rsidRDefault="004D05F1" w:rsidP="006C3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 w:cstheme="minorHAnsi"/>
        <w:sz w:val="20"/>
        <w:szCs w:val="28"/>
      </w:rPr>
      <w:id w:val="705756858"/>
      <w:docPartObj>
        <w:docPartGallery w:val="Page Numbers (Bottom of Page)"/>
        <w:docPartUnique/>
      </w:docPartObj>
    </w:sdtPr>
    <w:sdtEndPr/>
    <w:sdtContent>
      <w:p w:rsidR="006C3F9C" w:rsidRPr="006C3F9C" w:rsidRDefault="006C3F9C" w:rsidP="006C3F9C">
        <w:pPr>
          <w:pStyle w:val="Pieddepage"/>
          <w:jc w:val="right"/>
          <w:rPr>
            <w:rFonts w:eastAsiaTheme="majorEastAsia" w:cstheme="minorHAnsi"/>
            <w:sz w:val="20"/>
            <w:szCs w:val="28"/>
          </w:rPr>
        </w:pPr>
        <w:r w:rsidRPr="00415464">
          <w:rPr>
            <w:rFonts w:eastAsiaTheme="majorEastAsia" w:cstheme="minorHAnsi"/>
            <w:sz w:val="20"/>
            <w:szCs w:val="28"/>
          </w:rPr>
          <w:t xml:space="preserve">p. </w:t>
        </w:r>
        <w:r w:rsidRPr="00415464">
          <w:rPr>
            <w:rFonts w:eastAsiaTheme="minorEastAsia" w:cstheme="minorHAnsi"/>
            <w:sz w:val="16"/>
          </w:rPr>
          <w:fldChar w:fldCharType="begin"/>
        </w:r>
        <w:r w:rsidRPr="00415464">
          <w:rPr>
            <w:rFonts w:cstheme="minorHAnsi"/>
            <w:sz w:val="16"/>
          </w:rPr>
          <w:instrText>PAGE    \* MERGEFORMAT</w:instrText>
        </w:r>
        <w:r w:rsidRPr="00415464">
          <w:rPr>
            <w:rFonts w:eastAsiaTheme="minorEastAsia" w:cstheme="minorHAnsi"/>
            <w:sz w:val="16"/>
          </w:rPr>
          <w:fldChar w:fldCharType="separate"/>
        </w:r>
        <w:r w:rsidR="0030317F" w:rsidRPr="0030317F">
          <w:rPr>
            <w:rFonts w:eastAsiaTheme="majorEastAsia" w:cstheme="minorHAnsi"/>
            <w:noProof/>
            <w:sz w:val="20"/>
            <w:szCs w:val="28"/>
          </w:rPr>
          <w:t>2</w:t>
        </w:r>
        <w:r w:rsidRPr="00415464">
          <w:rPr>
            <w:rFonts w:eastAsiaTheme="majorEastAsia" w:cstheme="minorHAnsi"/>
            <w:sz w:val="20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5F1" w:rsidRDefault="004D05F1" w:rsidP="006C3F9C">
      <w:pPr>
        <w:spacing w:after="0" w:line="240" w:lineRule="auto"/>
      </w:pPr>
      <w:r>
        <w:separator/>
      </w:r>
    </w:p>
  </w:footnote>
  <w:footnote w:type="continuationSeparator" w:id="0">
    <w:p w:rsidR="004D05F1" w:rsidRDefault="004D05F1" w:rsidP="006C3F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F9C" w:rsidRDefault="006C3F9C">
    <w:pPr>
      <w:pStyle w:val="En-tte"/>
    </w:pPr>
    <w:r>
      <w:rPr>
        <w:noProof/>
        <w:lang w:eastAsia="fr-FR"/>
      </w:rPr>
      <w:drawing>
        <wp:inline distT="0" distB="0" distL="0" distR="0" wp14:anchorId="5F9E976D" wp14:editId="62241BF8">
          <wp:extent cx="920750" cy="826770"/>
          <wp:effectExtent l="0" t="0" r="0" b="0"/>
          <wp:docPr id="1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0750" cy="826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F9C"/>
    <w:rsid w:val="001E05D6"/>
    <w:rsid w:val="0030317F"/>
    <w:rsid w:val="004640B7"/>
    <w:rsid w:val="004D05F1"/>
    <w:rsid w:val="006C3F9C"/>
    <w:rsid w:val="00A77148"/>
    <w:rsid w:val="00AF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AF98E-D24B-44D7-ACEE-9B77176DF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3F9C"/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C3F9C"/>
    <w:pPr>
      <w:tabs>
        <w:tab w:val="center" w:pos="4536"/>
        <w:tab w:val="right" w:pos="9072"/>
      </w:tabs>
      <w:spacing w:after="0" w:line="240" w:lineRule="auto"/>
    </w:pPr>
    <w:rPr>
      <w:rFonts w:eastAsiaTheme="minorHAnsi"/>
    </w:rPr>
  </w:style>
  <w:style w:type="character" w:customStyle="1" w:styleId="En-tteCar">
    <w:name w:val="En-tête Car"/>
    <w:basedOn w:val="Policepardfaut"/>
    <w:link w:val="En-tte"/>
    <w:uiPriority w:val="99"/>
    <w:rsid w:val="006C3F9C"/>
  </w:style>
  <w:style w:type="paragraph" w:styleId="Pieddepage">
    <w:name w:val="footer"/>
    <w:basedOn w:val="Normal"/>
    <w:link w:val="PieddepageCar"/>
    <w:uiPriority w:val="99"/>
    <w:unhideWhenUsed/>
    <w:rsid w:val="006C3F9C"/>
    <w:pPr>
      <w:tabs>
        <w:tab w:val="center" w:pos="4536"/>
        <w:tab w:val="right" w:pos="9072"/>
      </w:tabs>
      <w:spacing w:after="0" w:line="240" w:lineRule="auto"/>
    </w:pPr>
    <w:rPr>
      <w:rFonts w:eastAsiaTheme="minorHAnsi"/>
    </w:rPr>
  </w:style>
  <w:style w:type="character" w:customStyle="1" w:styleId="PieddepageCar">
    <w:name w:val="Pied de page Car"/>
    <w:basedOn w:val="Policepardfaut"/>
    <w:link w:val="Pieddepage"/>
    <w:uiPriority w:val="99"/>
    <w:rsid w:val="006C3F9C"/>
  </w:style>
  <w:style w:type="paragraph" w:styleId="Titre">
    <w:name w:val="Title"/>
    <w:basedOn w:val="Normal"/>
    <w:next w:val="Normal"/>
    <w:link w:val="TitreCar"/>
    <w:uiPriority w:val="10"/>
    <w:qFormat/>
    <w:rsid w:val="006C3F9C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itreCar">
    <w:name w:val="Titre Car"/>
    <w:basedOn w:val="Policepardfaut"/>
    <w:link w:val="Titre"/>
    <w:uiPriority w:val="10"/>
    <w:rsid w:val="006C3F9C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C3F9C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C3F9C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Accentuation">
    <w:name w:val="Emphasis"/>
    <w:basedOn w:val="Policepardfaut"/>
    <w:uiPriority w:val="20"/>
    <w:qFormat/>
    <w:rsid w:val="006C3F9C"/>
    <w:rPr>
      <w:i/>
      <w:iCs/>
    </w:rPr>
  </w:style>
  <w:style w:type="table" w:styleId="Grilledutableau">
    <w:name w:val="Table Grid"/>
    <w:basedOn w:val="TableauNormal"/>
    <w:uiPriority w:val="39"/>
    <w:rsid w:val="006C3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0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832</Characters>
  <Application>Microsoft Office Word</Application>
  <DocSecurity>4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Nora ASC NIV 2 OT</dc:creator>
  <cp:keywords/>
  <dc:description/>
  <cp:lastModifiedBy>ANTONIAZZI carole SA CS MINDEF</cp:lastModifiedBy>
  <cp:revision>2</cp:revision>
  <dcterms:created xsi:type="dcterms:W3CDTF">2025-07-01T13:55:00Z</dcterms:created>
  <dcterms:modified xsi:type="dcterms:W3CDTF">2025-07-01T13:55:00Z</dcterms:modified>
</cp:coreProperties>
</file>